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512A5B" w:rsidRDefault="00512A5B" w:rsidP="00512A5B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76730985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512A5B" w:rsidRDefault="00512A5B" w:rsidP="00512A5B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EE7A67" w:rsidRPr="00DA19C5" w:rsidRDefault="00512A5B" w:rsidP="006B6519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A19C5">
              <w:rPr>
                <w:color w:val="000000"/>
                <w:sz w:val="28"/>
                <w:szCs w:val="28"/>
              </w:rPr>
              <w:t>уководителям о</w:t>
            </w:r>
            <w:r>
              <w:rPr>
                <w:color w:val="000000"/>
                <w:sz w:val="28"/>
                <w:szCs w:val="28"/>
              </w:rPr>
              <w:t>бразовательных организаций (школ, детских садов, учреждений дополнительного образования</w:t>
            </w:r>
            <w:r w:rsidRPr="00DA19C5">
              <w:rPr>
                <w:sz w:val="28"/>
                <w:szCs w:val="28"/>
              </w:rPr>
              <w:t xml:space="preserve"> </w:t>
            </w:r>
            <w:permEnd w:id="1767309854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EA20C6" w:rsidP="006B6519">
            <w:pPr>
              <w:suppressAutoHyphens/>
              <w:ind w:left="-170" w:right="-170"/>
              <w:jc w:val="center"/>
            </w:pPr>
            <w:permStart w:id="724503930" w:edGrp="everyone"/>
            <w:r>
              <w:t>27.07.2021</w:t>
            </w:r>
            <w:bookmarkStart w:id="0" w:name="_GoBack"/>
            <w:bookmarkEnd w:id="0"/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EA20C6">
              <w:t xml:space="preserve"> </w:t>
            </w:r>
            <w:permEnd w:id="724503930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BC6AFB" w:rsidP="006B6519">
            <w:pPr>
              <w:suppressAutoHyphens/>
              <w:ind w:left="-170" w:right="-170"/>
              <w:jc w:val="center"/>
            </w:pPr>
            <w:permStart w:id="2072404998" w:edGrp="everyone"/>
            <w:r w:rsidRPr="00BC6AFB">
              <w:t>№4680/51/36.01-29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207240499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500637111" w:edGrp="everyone" w:colFirst="0" w:colLast="0"/>
            <w:r>
              <w:rPr>
                <w:sz w:val="28"/>
                <w:szCs w:val="28"/>
              </w:rPr>
              <w:t>О результатах мониторинга сайтов образовательных организаций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500637111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12A5B" w:rsidRPr="00DA19C5" w:rsidRDefault="00512A5B" w:rsidP="00512A5B">
      <w:pPr>
        <w:widowControl w:val="0"/>
        <w:jc w:val="center"/>
        <w:rPr>
          <w:sz w:val="28"/>
          <w:szCs w:val="28"/>
        </w:rPr>
      </w:pPr>
      <w:permStart w:id="1751124441" w:edGrp="everyone"/>
      <w:r>
        <w:rPr>
          <w:sz w:val="28"/>
          <w:szCs w:val="28"/>
        </w:rPr>
        <w:t>Уважаемые коллеги!</w:t>
      </w:r>
    </w:p>
    <w:p w:rsidR="00512A5B" w:rsidRPr="00DA19C5" w:rsidRDefault="00512A5B" w:rsidP="00512A5B">
      <w:pPr>
        <w:widowControl w:val="0"/>
        <w:jc w:val="center"/>
        <w:rPr>
          <w:sz w:val="28"/>
          <w:szCs w:val="28"/>
        </w:rPr>
      </w:pP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Департамент образования Администрации города Екатеринбурга (далее – Департамент образования) направляет для организации работы информацию о результатах проведенного Министерством образования и молодежной политики Свердловской области комплексного мониторинга открытых и общедоступных информационных ресурсов (сайтов) образовательных организаций, имеющих лицензии на осуществление образовательной деятельности по дополнительному образованию детей и взрослых (далее – мониторинг).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</w:rPr>
      </w:pPr>
      <w:r w:rsidRPr="00BC543A">
        <w:rPr>
          <w:rFonts w:eastAsia="Times New Roman" w:cs="Times New Roman"/>
          <w:sz w:val="28"/>
          <w:szCs w:val="28"/>
        </w:rPr>
        <w:t>Требования к структуре официального сайта в информационно-телекоммуникационной сети «Интернет» и формату представления информации, обязательной к размещению на сайте образовательной организации, установлены приказом Федеральной службы по надзору в сфере образования и науки от 14.08.2020 № 831.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Мониторингу подлежали 1765 официальных сайтов муниципальных образовательных организаций Свердловской области, реализующих дополнительные общеобразовательные программы (дошкольные организации, общеобразовательные организации, организации дополнительного образования).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 xml:space="preserve">В ходе мониторинга установлены следующие несоответствия содержания и структуры сайтов образовательных организаций обязательным требованиям законодательства Российской Федерации в сфере образования: 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1) отсутствуют сведения в отношении каждой образовательной программы дополнительного образования (о формах обучения; о нормативном сроке обучения; о языке, на котором осуществляется образование (обучение); об учебных предметах, курсах, дисциплинах, предусмотренных соответствующей образовательной программой; о практике, предусмотренной соответствующей образовательной программой; об использовании при реализации образовательной программы электронного обучения и дистанционных образовательных технологий);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2) отсутствуют сведения об учебном плане (для каждой образовательной программы дополнительного образования) с приложением его в виде электронного документа;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 xml:space="preserve">3) отсутствуют сведения об аннотациях к рабочим программам дисциплин (по каждому учебному предмету, курсу, дисциплине (модулю) в составе </w:t>
      </w:r>
      <w:r w:rsidRPr="00BC543A">
        <w:rPr>
          <w:rFonts w:eastAsia="Times New Roman" w:cs="Times New Roman"/>
          <w:sz w:val="28"/>
          <w:szCs w:val="28"/>
        </w:rPr>
        <w:lastRenderedPageBreak/>
        <w:t>образовательной программы) с приложением рабочих программ в виде электронного документа;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4) отсутствуют сведения о календарном учебном графике (для каждой образовательной программы дополнительного образования) с приложением его в виде электронного документа;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5) документы, разработанные образовательной организацией самостоятельно, размещены не в виде электронных документов (электронный документ – документ, подписанный простой электронной подписью в соответствии с Федеральным законом от 6 апреля 2011 года № 63-ФЗ «Об электронной подписи»);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6) размещены неактуальные сведения о лицензии на осуществление образовательной деятельности (о выписке из реестра лицензий на осуществление образовательной деятельности);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7) отсутствуют сведения об адресах мест осуществления образовательной деятельности;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8) сведения об адресах мест осуществления образовательной деятельности не соответствуют сведениям об адресах мест осуществления образовательной деятельности, предусмотренных лицензией на осуществление образовательной деятельности;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9) в разделе «Образование» отсутствуют сведения о реализуемых дополнительных общеобразовательных программах.</w:t>
      </w:r>
    </w:p>
    <w:p w:rsidR="00512A5B" w:rsidRPr="00BC543A" w:rsidRDefault="00512A5B" w:rsidP="00512A5B">
      <w:pPr>
        <w:suppressAutoHyphens/>
        <w:autoSpaceDN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 xml:space="preserve">С целью недопущения нарушения обязательных требований законодательства Российской Федерации в сфере образования в части содержания и структуры сайтов образовательных организаций </w:t>
      </w:r>
      <w:r w:rsidRPr="00BC543A">
        <w:rPr>
          <w:rFonts w:eastAsia="Times New Roman" w:cs="Times New Roman"/>
          <w:b/>
          <w:sz w:val="28"/>
          <w:szCs w:val="28"/>
        </w:rPr>
        <w:t>Департамент образования предлагает</w:t>
      </w:r>
      <w:r w:rsidRPr="00BC543A">
        <w:rPr>
          <w:rFonts w:eastAsia="Times New Roman" w:cs="Times New Roman"/>
          <w:sz w:val="28"/>
          <w:szCs w:val="28"/>
        </w:rPr>
        <w:t xml:space="preserve"> </w:t>
      </w:r>
    </w:p>
    <w:p w:rsidR="00512A5B" w:rsidRPr="00BC543A" w:rsidRDefault="00512A5B" w:rsidP="00512A5B">
      <w:pPr>
        <w:suppressAutoHyphens/>
        <w:autoSpaceDN w:val="0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C543A">
        <w:rPr>
          <w:rFonts w:eastAsia="Times New Roman" w:cs="Times New Roman"/>
          <w:b/>
          <w:sz w:val="28"/>
          <w:szCs w:val="28"/>
        </w:rPr>
        <w:t>начальникам районных управлений</w:t>
      </w:r>
      <w:r w:rsidRPr="00BC543A">
        <w:rPr>
          <w:rFonts w:eastAsia="Times New Roman" w:cs="Times New Roman"/>
          <w:sz w:val="28"/>
          <w:szCs w:val="28"/>
        </w:rPr>
        <w:t xml:space="preserve"> </w:t>
      </w:r>
      <w:r w:rsidRPr="00BC543A">
        <w:rPr>
          <w:rFonts w:eastAsia="Times New Roman" w:cs="Times New Roman"/>
          <w:b/>
          <w:sz w:val="28"/>
          <w:szCs w:val="28"/>
        </w:rPr>
        <w:t xml:space="preserve">образования: </w:t>
      </w:r>
    </w:p>
    <w:p w:rsidR="00512A5B" w:rsidRDefault="00512A5B" w:rsidP="00512A5B">
      <w:pPr>
        <w:numPr>
          <w:ilvl w:val="0"/>
          <w:numId w:val="1"/>
        </w:numPr>
        <w:suppressAutoHyphens/>
        <w:autoSpaceDN w:val="0"/>
        <w:ind w:left="0" w:firstLine="709"/>
        <w:jc w:val="both"/>
        <w:textAlignment w:val="baseline"/>
        <w:rPr>
          <w:rFonts w:eastAsia="Times New Roman" w:cs="Times New Roman"/>
          <w:b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 xml:space="preserve">рассмотреть итоги мониторинга на совещаниях с руководителями образовательных организаций (дошкольные организации, общеобразовательные организации, организации дополнительного образования), реализующих </w:t>
      </w:r>
      <w:r w:rsidRPr="00BC543A">
        <w:rPr>
          <w:rFonts w:eastAsia="Times New Roman" w:cs="Times New Roman"/>
          <w:sz w:val="28"/>
          <w:szCs w:val="28"/>
          <w:u w:val="single"/>
        </w:rPr>
        <w:t>дополнительные</w:t>
      </w:r>
      <w:r w:rsidRPr="00BC543A">
        <w:rPr>
          <w:rFonts w:eastAsia="Times New Roman" w:cs="Times New Roman"/>
          <w:sz w:val="28"/>
          <w:szCs w:val="28"/>
        </w:rPr>
        <w:t xml:space="preserve"> общеобразовательные программы;</w:t>
      </w:r>
    </w:p>
    <w:p w:rsidR="00512A5B" w:rsidRDefault="00512A5B" w:rsidP="00512A5B">
      <w:pPr>
        <w:numPr>
          <w:ilvl w:val="0"/>
          <w:numId w:val="1"/>
        </w:numPr>
        <w:suppressAutoHyphens/>
        <w:autoSpaceDN w:val="0"/>
        <w:ind w:left="0" w:firstLine="709"/>
        <w:jc w:val="both"/>
        <w:textAlignment w:val="baseline"/>
        <w:rPr>
          <w:rFonts w:eastAsia="Times New Roman" w:cs="Times New Roman"/>
          <w:b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организовать работу с руководителями подведомственных образовательных организаций по достижению 100% показателя соответствия сайтов обязательным требованиям законодательства Российской Федерации в сфере образования в части содержания и структуры сайтов образовательных организаций;</w:t>
      </w:r>
    </w:p>
    <w:p w:rsidR="00512A5B" w:rsidRPr="00BC543A" w:rsidRDefault="00512A5B" w:rsidP="00512A5B">
      <w:pPr>
        <w:numPr>
          <w:ilvl w:val="0"/>
          <w:numId w:val="1"/>
        </w:numPr>
        <w:suppressAutoHyphens/>
        <w:autoSpaceDN w:val="0"/>
        <w:ind w:left="0" w:firstLine="709"/>
        <w:jc w:val="both"/>
        <w:textAlignment w:val="baseline"/>
        <w:rPr>
          <w:rFonts w:eastAsia="Times New Roman" w:cs="Times New Roman"/>
          <w:b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 xml:space="preserve">определить подведомственные образовательные организации (дошкольные организации, общеобразовательные организации, организации дополнительного образования), которые осуществят контроль соответствия сайтов образовательных организаций </w:t>
      </w:r>
      <w:r w:rsidRPr="00BC543A">
        <w:rPr>
          <w:rFonts w:eastAsia="Times New Roman" w:cs="Times New Roman"/>
          <w:sz w:val="28"/>
          <w:szCs w:val="28"/>
          <w:u w:val="single"/>
        </w:rPr>
        <w:t>другого</w:t>
      </w:r>
      <w:r w:rsidRPr="00BC543A">
        <w:rPr>
          <w:rFonts w:eastAsia="Times New Roman" w:cs="Times New Roman"/>
          <w:sz w:val="28"/>
          <w:szCs w:val="28"/>
        </w:rPr>
        <w:t xml:space="preserve"> административного района обязательным требованиям законодательства Российской Федерации в сфере образования в части содержания и структуры сайтов образовательных организаций по предложенной форме (таблица 2) в следующем порядке:</w:t>
      </w:r>
    </w:p>
    <w:p w:rsidR="00512A5B" w:rsidRPr="00BC543A" w:rsidRDefault="00512A5B" w:rsidP="00512A5B">
      <w:pPr>
        <w:autoSpaceDN w:val="0"/>
        <w:ind w:left="1069"/>
        <w:jc w:val="both"/>
        <w:rPr>
          <w:rFonts w:eastAsia="Times New Roman" w:cs="Times New Roman"/>
          <w:sz w:val="28"/>
          <w:szCs w:val="28"/>
        </w:rPr>
      </w:pP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6379"/>
        <w:gridCol w:w="3119"/>
      </w:tblGrid>
      <w:tr w:rsidR="00512A5B" w:rsidRPr="00BC543A" w:rsidTr="00B41EB9">
        <w:tc>
          <w:tcPr>
            <w:tcW w:w="70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  <w:b/>
              </w:rPr>
            </w:pPr>
            <w:r w:rsidRPr="00BC543A">
              <w:rPr>
                <w:rFonts w:ascii="Liberation Serif" w:eastAsia="Times New Roman" w:hAnsi="Liberation Serif" w:cs="Times New Roman"/>
                <w:b/>
              </w:rPr>
              <w:t>№ п/п</w:t>
            </w:r>
          </w:p>
        </w:tc>
        <w:tc>
          <w:tcPr>
            <w:tcW w:w="637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  <w:b/>
              </w:rPr>
            </w:pPr>
            <w:r w:rsidRPr="00BC543A">
              <w:rPr>
                <w:rFonts w:ascii="Liberation Serif" w:eastAsia="Times New Roman" w:hAnsi="Liberation Serif" w:cs="Times New Roman"/>
                <w:b/>
              </w:rPr>
              <w:t>Административный район, сайты учреждений которого проверяются</w:t>
            </w:r>
          </w:p>
        </w:tc>
        <w:tc>
          <w:tcPr>
            <w:tcW w:w="311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  <w:b/>
              </w:rPr>
            </w:pPr>
            <w:r w:rsidRPr="00BC543A">
              <w:rPr>
                <w:rFonts w:ascii="Liberation Serif" w:eastAsia="Times New Roman" w:hAnsi="Liberation Serif" w:cs="Times New Roman"/>
                <w:b/>
              </w:rPr>
              <w:t xml:space="preserve">Административный район, который проверяет сайты учреждений </w:t>
            </w:r>
          </w:p>
        </w:tc>
      </w:tr>
      <w:tr w:rsidR="00512A5B" w:rsidRPr="00BC543A" w:rsidTr="00B41EB9">
        <w:tc>
          <w:tcPr>
            <w:tcW w:w="709" w:type="dxa"/>
          </w:tcPr>
          <w:p w:rsidR="00512A5B" w:rsidRPr="00BC543A" w:rsidRDefault="00512A5B" w:rsidP="00B41EB9">
            <w:pPr>
              <w:suppressAutoHyphens/>
              <w:autoSpaceDN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637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Верх-Исетский район (24 школы, 3 УДО, 57 ДОУ)</w:t>
            </w:r>
          </w:p>
        </w:tc>
        <w:tc>
          <w:tcPr>
            <w:tcW w:w="311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Орджоникидзевский район</w:t>
            </w:r>
          </w:p>
        </w:tc>
      </w:tr>
      <w:tr w:rsidR="00512A5B" w:rsidRPr="00BC543A" w:rsidTr="00B41EB9">
        <w:tc>
          <w:tcPr>
            <w:tcW w:w="709" w:type="dxa"/>
          </w:tcPr>
          <w:p w:rsidR="00512A5B" w:rsidRPr="00BC543A" w:rsidRDefault="00512A5B" w:rsidP="00B41EB9">
            <w:pPr>
              <w:suppressAutoHyphens/>
              <w:autoSpaceDN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637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 xml:space="preserve">Железнодорожный район (21 школа, 2 УДО, 34 ДОУ) </w:t>
            </w:r>
          </w:p>
        </w:tc>
        <w:tc>
          <w:tcPr>
            <w:tcW w:w="311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Кировский район</w:t>
            </w:r>
          </w:p>
        </w:tc>
      </w:tr>
      <w:tr w:rsidR="00512A5B" w:rsidRPr="00BC543A" w:rsidTr="00B41EB9">
        <w:tc>
          <w:tcPr>
            <w:tcW w:w="709" w:type="dxa"/>
          </w:tcPr>
          <w:p w:rsidR="00512A5B" w:rsidRPr="00BC543A" w:rsidRDefault="00512A5B" w:rsidP="00B41EB9">
            <w:pPr>
              <w:suppressAutoHyphens/>
              <w:autoSpaceDN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lastRenderedPageBreak/>
              <w:t>3</w:t>
            </w:r>
          </w:p>
        </w:tc>
        <w:tc>
          <w:tcPr>
            <w:tcW w:w="637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Кировский район (22 школы, 4 УДО, 51 ДОУ)</w:t>
            </w:r>
          </w:p>
        </w:tc>
        <w:tc>
          <w:tcPr>
            <w:tcW w:w="311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Ленинский район</w:t>
            </w:r>
          </w:p>
        </w:tc>
      </w:tr>
      <w:tr w:rsidR="00512A5B" w:rsidRPr="00BC543A" w:rsidTr="00B41EB9">
        <w:tc>
          <w:tcPr>
            <w:tcW w:w="709" w:type="dxa"/>
          </w:tcPr>
          <w:p w:rsidR="00512A5B" w:rsidRPr="00BC543A" w:rsidRDefault="00512A5B" w:rsidP="00B41EB9">
            <w:pPr>
              <w:suppressAutoHyphens/>
              <w:autoSpaceDN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4</w:t>
            </w:r>
          </w:p>
        </w:tc>
        <w:tc>
          <w:tcPr>
            <w:tcW w:w="637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Ленинский район (21 школа, 2 УДО, 50 ДОУ)</w:t>
            </w:r>
          </w:p>
        </w:tc>
        <w:tc>
          <w:tcPr>
            <w:tcW w:w="311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Октябрьский район</w:t>
            </w:r>
          </w:p>
        </w:tc>
      </w:tr>
      <w:tr w:rsidR="00512A5B" w:rsidRPr="00BC543A" w:rsidTr="00B41EB9">
        <w:tc>
          <w:tcPr>
            <w:tcW w:w="709" w:type="dxa"/>
          </w:tcPr>
          <w:p w:rsidR="00512A5B" w:rsidRPr="00BC543A" w:rsidRDefault="00512A5B" w:rsidP="00B41EB9">
            <w:pPr>
              <w:suppressAutoHyphens/>
              <w:autoSpaceDN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5</w:t>
            </w:r>
          </w:p>
        </w:tc>
        <w:tc>
          <w:tcPr>
            <w:tcW w:w="637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Октябрьский район (19 школ, 1 УДО, 24 ДОУ)</w:t>
            </w:r>
          </w:p>
        </w:tc>
        <w:tc>
          <w:tcPr>
            <w:tcW w:w="311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Железнодорожный район</w:t>
            </w:r>
          </w:p>
        </w:tc>
      </w:tr>
      <w:tr w:rsidR="00512A5B" w:rsidRPr="00BC543A" w:rsidTr="00B41EB9">
        <w:tc>
          <w:tcPr>
            <w:tcW w:w="709" w:type="dxa"/>
          </w:tcPr>
          <w:p w:rsidR="00512A5B" w:rsidRPr="00BC543A" w:rsidRDefault="00512A5B" w:rsidP="00B41EB9">
            <w:pPr>
              <w:suppressAutoHyphens/>
              <w:autoSpaceDN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6</w:t>
            </w:r>
          </w:p>
        </w:tc>
        <w:tc>
          <w:tcPr>
            <w:tcW w:w="637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Орджоникидзевский район (29 школ, 3 УДО, 60 ДОУ)</w:t>
            </w:r>
          </w:p>
        </w:tc>
        <w:tc>
          <w:tcPr>
            <w:tcW w:w="311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Чкаловский район</w:t>
            </w:r>
          </w:p>
        </w:tc>
      </w:tr>
      <w:tr w:rsidR="00512A5B" w:rsidRPr="00BC543A" w:rsidTr="00B41EB9">
        <w:tc>
          <w:tcPr>
            <w:tcW w:w="709" w:type="dxa"/>
          </w:tcPr>
          <w:p w:rsidR="00512A5B" w:rsidRPr="00BC543A" w:rsidRDefault="00512A5B" w:rsidP="00B41EB9">
            <w:pPr>
              <w:suppressAutoHyphens/>
              <w:autoSpaceDN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7</w:t>
            </w:r>
          </w:p>
        </w:tc>
        <w:tc>
          <w:tcPr>
            <w:tcW w:w="637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Чкаловский район (27 школ, 2 УДО, 70 ДОУ)</w:t>
            </w:r>
          </w:p>
        </w:tc>
        <w:tc>
          <w:tcPr>
            <w:tcW w:w="3119" w:type="dxa"/>
          </w:tcPr>
          <w:p w:rsidR="00512A5B" w:rsidRPr="00BC543A" w:rsidRDefault="00512A5B" w:rsidP="00B41EB9">
            <w:pPr>
              <w:suppressAutoHyphens/>
              <w:autoSpaceDN w:val="0"/>
              <w:jc w:val="both"/>
              <w:rPr>
                <w:rFonts w:ascii="Liberation Serif" w:eastAsia="Times New Roman" w:hAnsi="Liberation Serif" w:cs="Times New Roman"/>
              </w:rPr>
            </w:pPr>
            <w:r w:rsidRPr="00BC543A">
              <w:rPr>
                <w:rFonts w:ascii="Liberation Serif" w:eastAsia="Times New Roman" w:hAnsi="Liberation Serif" w:cs="Times New Roman"/>
              </w:rPr>
              <w:t>Верх-Исетский район</w:t>
            </w:r>
          </w:p>
        </w:tc>
      </w:tr>
    </w:tbl>
    <w:p w:rsidR="00512A5B" w:rsidRPr="00BC543A" w:rsidRDefault="00512A5B" w:rsidP="00512A5B">
      <w:pPr>
        <w:suppressAutoHyphens/>
        <w:autoSpaceDN w:val="0"/>
        <w:ind w:left="709"/>
        <w:jc w:val="both"/>
        <w:rPr>
          <w:rFonts w:eastAsia="Times New Roman" w:cs="Times New Roman"/>
          <w:sz w:val="28"/>
          <w:szCs w:val="28"/>
        </w:rPr>
      </w:pPr>
    </w:p>
    <w:p w:rsidR="00512A5B" w:rsidRPr="00BC543A" w:rsidRDefault="00512A5B" w:rsidP="00512A5B">
      <w:pPr>
        <w:numPr>
          <w:ilvl w:val="0"/>
          <w:numId w:val="1"/>
        </w:numPr>
        <w:suppressAutoHyphens/>
        <w:autoSpaceDN w:val="0"/>
        <w:ind w:hanging="502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 xml:space="preserve">в срок </w:t>
      </w:r>
      <w:r w:rsidRPr="00BC543A">
        <w:rPr>
          <w:rFonts w:eastAsia="Times New Roman" w:cs="Times New Roman"/>
          <w:b/>
          <w:sz w:val="28"/>
          <w:szCs w:val="28"/>
        </w:rPr>
        <w:t>до 3 сентября 2021 года:</w:t>
      </w:r>
      <w:r w:rsidRPr="00BC543A">
        <w:rPr>
          <w:rFonts w:eastAsia="Times New Roman" w:cs="Times New Roman"/>
          <w:sz w:val="28"/>
          <w:szCs w:val="28"/>
        </w:rPr>
        <w:t xml:space="preserve"> </w:t>
      </w:r>
    </w:p>
    <w:p w:rsidR="00961B9E" w:rsidRPr="00961B9E" w:rsidRDefault="00961B9E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961B9E">
        <w:rPr>
          <w:rFonts w:eastAsia="Times New Roman" w:cs="Times New Roman"/>
          <w:sz w:val="28"/>
          <w:szCs w:val="28"/>
        </w:rPr>
        <w:t xml:space="preserve">использовать </w:t>
      </w:r>
      <w:r w:rsidRPr="00BC543A">
        <w:rPr>
          <w:rFonts w:eastAsia="Times New Roman" w:cs="Times New Roman"/>
          <w:sz w:val="28"/>
          <w:szCs w:val="28"/>
        </w:rPr>
        <w:t>предложенн</w:t>
      </w:r>
      <w:r>
        <w:rPr>
          <w:rFonts w:eastAsia="Times New Roman" w:cs="Times New Roman"/>
          <w:sz w:val="28"/>
          <w:szCs w:val="28"/>
        </w:rPr>
        <w:t>ую</w:t>
      </w:r>
      <w:r w:rsidRPr="00BC543A">
        <w:rPr>
          <w:rFonts w:eastAsia="Times New Roman" w:cs="Times New Roman"/>
          <w:sz w:val="28"/>
          <w:szCs w:val="28"/>
        </w:rPr>
        <w:t xml:space="preserve"> форм</w:t>
      </w:r>
      <w:r>
        <w:rPr>
          <w:rFonts w:eastAsia="Times New Roman" w:cs="Times New Roman"/>
          <w:sz w:val="28"/>
          <w:szCs w:val="28"/>
        </w:rPr>
        <w:t>у</w:t>
      </w:r>
      <w:r w:rsidRPr="00BC543A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(</w:t>
      </w:r>
      <w:r w:rsidRPr="00961B9E">
        <w:rPr>
          <w:rFonts w:eastAsia="Times New Roman" w:cs="Times New Roman"/>
          <w:sz w:val="28"/>
          <w:szCs w:val="28"/>
        </w:rPr>
        <w:t>таблиц</w:t>
      </w:r>
      <w:r>
        <w:rPr>
          <w:rFonts w:eastAsia="Times New Roman" w:cs="Times New Roman"/>
          <w:sz w:val="28"/>
          <w:szCs w:val="28"/>
        </w:rPr>
        <w:t>а</w:t>
      </w:r>
      <w:r w:rsidRPr="00961B9E">
        <w:rPr>
          <w:rFonts w:eastAsia="Times New Roman" w:cs="Times New Roman"/>
          <w:sz w:val="28"/>
          <w:szCs w:val="28"/>
        </w:rPr>
        <w:t xml:space="preserve"> 1</w:t>
      </w:r>
      <w:r>
        <w:rPr>
          <w:rFonts w:eastAsia="Times New Roman" w:cs="Times New Roman"/>
          <w:sz w:val="28"/>
          <w:szCs w:val="28"/>
        </w:rPr>
        <w:t>)</w:t>
      </w:r>
      <w:r w:rsidRPr="00961B9E">
        <w:rPr>
          <w:rFonts w:eastAsia="Times New Roman" w:cs="Times New Roman"/>
          <w:sz w:val="28"/>
          <w:szCs w:val="28"/>
        </w:rPr>
        <w:t xml:space="preserve"> для самозаполнения подведомственными образовательными организациями</w:t>
      </w:r>
      <w:r>
        <w:rPr>
          <w:rFonts w:eastAsia="Times New Roman" w:cs="Times New Roman"/>
          <w:sz w:val="28"/>
          <w:szCs w:val="28"/>
        </w:rPr>
        <w:t>;</w:t>
      </w:r>
      <w:r w:rsidRPr="00961B9E">
        <w:rPr>
          <w:rFonts w:eastAsia="Times New Roman" w:cs="Times New Roman"/>
          <w:sz w:val="28"/>
          <w:szCs w:val="28"/>
        </w:rPr>
        <w:t xml:space="preserve"> </w:t>
      </w:r>
    </w:p>
    <w:p w:rsidR="00512A5B" w:rsidRPr="00BC543A" w:rsidRDefault="00512A5B" w:rsidP="00512A5B">
      <w:pPr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 xml:space="preserve">осуществить контроль соответствия сайтов образовательных организаций </w:t>
      </w:r>
      <w:r w:rsidRPr="00BC543A">
        <w:rPr>
          <w:rFonts w:eastAsia="Times New Roman" w:cs="Times New Roman"/>
          <w:sz w:val="28"/>
          <w:szCs w:val="28"/>
          <w:u w:val="single"/>
        </w:rPr>
        <w:t>другого</w:t>
      </w:r>
      <w:r w:rsidRPr="00BC543A">
        <w:rPr>
          <w:rFonts w:eastAsia="Times New Roman" w:cs="Times New Roman"/>
          <w:sz w:val="28"/>
          <w:szCs w:val="28"/>
        </w:rPr>
        <w:t xml:space="preserve"> района обязательным требованиям законодательства Российской Федерации в сфере образования в части содержания и структуры сайтов образовательных организаций по предложенной форме (таблица 2)</w:t>
      </w:r>
      <w:r>
        <w:rPr>
          <w:rFonts w:eastAsia="Times New Roman" w:cs="Times New Roman"/>
          <w:sz w:val="28"/>
          <w:szCs w:val="28"/>
        </w:rPr>
        <w:t>;</w:t>
      </w:r>
    </w:p>
    <w:p w:rsidR="00512A5B" w:rsidRPr="00BC543A" w:rsidRDefault="00512A5B" w:rsidP="00512A5B">
      <w:pPr>
        <w:numPr>
          <w:ilvl w:val="0"/>
          <w:numId w:val="1"/>
        </w:numPr>
        <w:suppressAutoHyphens/>
        <w:autoSpaceDN w:val="0"/>
        <w:ind w:left="0" w:firstLine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 xml:space="preserve">в срок </w:t>
      </w:r>
      <w:r w:rsidRPr="00BC543A">
        <w:rPr>
          <w:rFonts w:eastAsia="Times New Roman" w:cs="Times New Roman"/>
          <w:b/>
          <w:sz w:val="28"/>
          <w:szCs w:val="28"/>
        </w:rPr>
        <w:t>до 6 сентября 2021 года</w:t>
      </w:r>
      <w:r w:rsidRPr="00BC543A">
        <w:rPr>
          <w:rFonts w:eastAsia="Times New Roman" w:cs="Times New Roman"/>
          <w:sz w:val="28"/>
          <w:szCs w:val="28"/>
        </w:rPr>
        <w:t xml:space="preserve"> направить на адрес электронной почты </w:t>
      </w:r>
      <w:hyperlink r:id="rId7" w:history="1">
        <w:r w:rsidRPr="00BC543A">
          <w:rPr>
            <w:rFonts w:eastAsia="Times New Roman" w:cs="Times New Roman"/>
            <w:color w:val="0563C1" w:themeColor="hyperlink"/>
            <w:sz w:val="28"/>
            <w:szCs w:val="28"/>
            <w:u w:val="single"/>
          </w:rPr>
          <w:t>lyapin_ap@ekadm.ru</w:t>
        </w:r>
      </w:hyperlink>
      <w:r w:rsidRPr="00BC543A">
        <w:rPr>
          <w:rFonts w:eastAsia="Times New Roman" w:cs="Times New Roman"/>
          <w:sz w:val="28"/>
          <w:szCs w:val="28"/>
        </w:rPr>
        <w:t xml:space="preserve"> информацию о проведенной работе по приложенным формам (таблица 1, таблица 2);</w:t>
      </w:r>
    </w:p>
    <w:p w:rsidR="00512A5B" w:rsidRPr="00BC543A" w:rsidRDefault="00512A5B" w:rsidP="00512A5B">
      <w:pPr>
        <w:suppressAutoHyphens/>
        <w:autoSpaceDN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C543A">
        <w:rPr>
          <w:rFonts w:eastAsia="Times New Roman" w:cs="Times New Roman"/>
          <w:sz w:val="28"/>
          <w:szCs w:val="28"/>
        </w:rPr>
        <w:t>Департамент образования оставляет за собой право выборочной проверки сайтов муниципальных образовательных организаций на предмет соответствия сайтов обязательным требованиям законодательства Российской Федерации в сфере образования в части содержания и структуры сайтов образовательных организаций.</w:t>
      </w:r>
    </w:p>
    <w:p w:rsidR="00512A5B" w:rsidRPr="00DA19C5" w:rsidRDefault="00512A5B" w:rsidP="00512A5B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512A5B" w:rsidRPr="00DA19C5" w:rsidTr="00B41EB9">
        <w:tc>
          <w:tcPr>
            <w:tcW w:w="1701" w:type="dxa"/>
          </w:tcPr>
          <w:p w:rsidR="00512A5B" w:rsidRPr="00DA19C5" w:rsidRDefault="00512A5B" w:rsidP="00B41EB9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512A5B" w:rsidRPr="00DA19C5" w:rsidRDefault="00512A5B" w:rsidP="00B41EB9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512A5B" w:rsidRPr="00DA19C5" w:rsidRDefault="00512A5B" w:rsidP="00FD67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таблица 1 </w:t>
            </w:r>
            <w:r w:rsidR="00FD672D">
              <w:rPr>
                <w:sz w:val="28"/>
                <w:szCs w:val="28"/>
              </w:rPr>
              <w:t>в электронном виде;</w:t>
            </w:r>
          </w:p>
        </w:tc>
      </w:tr>
      <w:tr w:rsidR="00512A5B" w:rsidRPr="00DA19C5" w:rsidTr="00B41EB9">
        <w:tc>
          <w:tcPr>
            <w:tcW w:w="1701" w:type="dxa"/>
          </w:tcPr>
          <w:p w:rsidR="00512A5B" w:rsidRPr="00DA19C5" w:rsidRDefault="00512A5B" w:rsidP="00B41E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512A5B" w:rsidRPr="00DA19C5" w:rsidRDefault="00512A5B" w:rsidP="00B41EB9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512A5B" w:rsidRPr="00DA19C5" w:rsidRDefault="00512A5B" w:rsidP="00FD67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таблица 2 </w:t>
            </w:r>
            <w:r w:rsidR="00FD672D">
              <w:rPr>
                <w:sz w:val="28"/>
                <w:szCs w:val="28"/>
              </w:rPr>
              <w:t>в электронном виде</w:t>
            </w:r>
            <w:r w:rsidRPr="00DA19C5">
              <w:rPr>
                <w:sz w:val="28"/>
                <w:szCs w:val="28"/>
              </w:rPr>
              <w:t>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02286754" w:edGrp="everyone"/>
            <w:permStart w:id="585329117" w:edGrp="everyone" w:colFirst="2" w:colLast="2"/>
            <w:permEnd w:id="175112444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20228675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047337176" w:edGrp="everyone"/>
      <w:permEnd w:id="58532911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результатах мониторинга сайтов образовательных организаций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048010368" w:edGrp="everyone"/>
            <w:permEnd w:id="104733717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4801036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02787641" w:edGrp="everyone"/>
            <w:r>
              <w:rPr>
                <w:sz w:val="28"/>
                <w:szCs w:val="28"/>
              </w:rPr>
              <w:t>Е.В. Кречетова</w:t>
            </w:r>
            <w:permEnd w:id="202787641"/>
          </w:p>
        </w:tc>
      </w:tr>
    </w:tbl>
    <w:p w:rsidR="00BB5DEB" w:rsidRDefault="00BB5DEB" w:rsidP="00BB5DEB">
      <w:permStart w:id="17022128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70221284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881" w:rsidRDefault="00FA3881" w:rsidP="00422DD4">
      <w:r>
        <w:separator/>
      </w:r>
    </w:p>
  </w:endnote>
  <w:endnote w:type="continuationSeparator" w:id="0">
    <w:p w:rsidR="00FA3881" w:rsidRDefault="00FA388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Вр-3980040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Вр-3980040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881" w:rsidRDefault="00FA3881" w:rsidP="00422DD4">
      <w:r>
        <w:separator/>
      </w:r>
    </w:p>
  </w:footnote>
  <w:footnote w:type="continuationSeparator" w:id="0">
    <w:p w:rsidR="00FA3881" w:rsidRDefault="00FA388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619933830" w:edGrp="everyone"/>
    <w:r>
      <w:t xml:space="preserve"> </w:t>
    </w:r>
    <w:permEnd w:id="6199338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991321832" w:edGrp="everyone"/>
    <w:r>
      <w:t xml:space="preserve"> </w:t>
    </w:r>
    <w:permEnd w:id="19913218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84F76"/>
    <w:multiLevelType w:val="hybridMultilevel"/>
    <w:tmpl w:val="FACC1376"/>
    <w:lvl w:ilvl="0" w:tplc="199AA59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001A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12A5B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61B9E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C6AF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124AC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A20C6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A3881"/>
    <w:rsid w:val="00FB416B"/>
    <w:rsid w:val="00FB7E15"/>
    <w:rsid w:val="00FC1D4F"/>
    <w:rsid w:val="00FC6A95"/>
    <w:rsid w:val="00FD672D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AEA4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512A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apin_ap@ekadm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6359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Корчемкина Елена Борисовна</cp:lastModifiedBy>
  <cp:revision>2</cp:revision>
  <cp:lastPrinted>2007-08-20T11:31:00Z</cp:lastPrinted>
  <dcterms:created xsi:type="dcterms:W3CDTF">2021-07-28T07:51:00Z</dcterms:created>
  <dcterms:modified xsi:type="dcterms:W3CDTF">2021-07-28T07:51:00Z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